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C0" w:rsidRDefault="00223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741718</wp:posOffset>
                </wp:positionH>
                <wp:positionV relativeFrom="paragraph">
                  <wp:posOffset>1006123</wp:posOffset>
                </wp:positionV>
                <wp:extent cx="1233889" cy="275208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89" cy="275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C0" w:rsidRDefault="002239C0" w:rsidP="002239C0">
                            <w:pPr>
                              <w:jc w:val="center"/>
                            </w:pPr>
                            <w:r>
                              <w:t>SCD</w:t>
                            </w:r>
                            <w:r w:rsidR="00232262">
                              <w:t xml:space="preserve"> - </w:t>
                            </w:r>
                            <w:r>
                              <w:t xml:space="preserve"> Bib INSA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.4pt;margin-top:79.2pt;width:97.1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" fillcolor="white [3212]" strokecolor="white [3212]" strokeweight="2pt">
                <v:textbox>
                  <w:txbxContent>
                    <w:p w:rsidR="002239C0" w:rsidRDefault="002239C0" w:rsidP="002239C0">
                      <w:pPr>
                        <w:jc w:val="center"/>
                      </w:pPr>
                      <w:r>
                        <w:t>SCD</w:t>
                      </w:r>
                      <w:r w:rsidR="00232262">
                        <w:t xml:space="preserve"> - </w:t>
                      </w:r>
                      <w:r>
                        <w:t xml:space="preserve"> Bib INSA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-197214</wp:posOffset>
                </wp:positionV>
                <wp:extent cx="4721916" cy="1748901"/>
                <wp:effectExtent l="0" t="0" r="2159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916" cy="1748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9C0" w:rsidRDefault="002239C0" w:rsidP="002239C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39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Procédure pour les Apprentissages par </w:t>
                            </w:r>
                            <w:r w:rsidR="00484B99" w:rsidRPr="002239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Problèmes</w:t>
                            </w:r>
                            <w:r w:rsidRPr="002239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39C0" w:rsidRPr="002239C0" w:rsidRDefault="00232262" w:rsidP="002239C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par Projets (</w:t>
                            </w:r>
                            <w:r w:rsidR="002239C0" w:rsidRPr="002239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APP)</w:t>
                            </w:r>
                          </w:p>
                          <w:p w:rsidR="002239C0" w:rsidRPr="002239C0" w:rsidRDefault="002239C0" w:rsidP="002239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39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Contact : </w:t>
                            </w:r>
                            <w:hyperlink r:id="rId6" w:history="1">
                              <w:r w:rsidRPr="00232262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appbibinsa@insa-toulouse.fr</w:t>
                              </w:r>
                            </w:hyperlink>
                            <w:r w:rsidR="00232262">
                              <w:rPr>
                                <w:rStyle w:val="Lienhypertex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39C0" w:rsidRPr="002239C0" w:rsidRDefault="002239C0" w:rsidP="002239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39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: 05.61.55.</w:t>
                            </w:r>
                            <w:r w:rsidRPr="00484B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96.93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112.95pt;margin-top:-15.55pt;width:371.8pt;height:13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" fillcolor="white [3212]" strokecolor="white [3212]" strokeweight="2pt">
                <v:textbox>
                  <w:txbxContent>
                    <w:p w:rsidR="002239C0" w:rsidRDefault="002239C0" w:rsidP="002239C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39C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Procédure pour les Apprentissages par </w:t>
                      </w:r>
                      <w:r w:rsidR="00484B99" w:rsidRPr="002239C0">
                        <w:rPr>
                          <w:color w:val="000000" w:themeColor="text1"/>
                          <w:sz w:val="32"/>
                          <w:szCs w:val="32"/>
                        </w:rPr>
                        <w:t>Problèmes</w:t>
                      </w:r>
                      <w:r w:rsidRPr="002239C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239C0" w:rsidRPr="002239C0" w:rsidRDefault="00232262" w:rsidP="002239C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par Projets (</w:t>
                      </w:r>
                      <w:r w:rsidR="002239C0" w:rsidRPr="002239C0">
                        <w:rPr>
                          <w:color w:val="000000" w:themeColor="text1"/>
                          <w:sz w:val="32"/>
                          <w:szCs w:val="32"/>
                        </w:rPr>
                        <w:t>APP)</w:t>
                      </w:r>
                    </w:p>
                    <w:p w:rsidR="002239C0" w:rsidRPr="002239C0" w:rsidRDefault="002239C0" w:rsidP="002239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39C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Contact : </w:t>
                      </w:r>
                      <w:hyperlink r:id="rId7" w:history="1">
                        <w:r w:rsidRPr="00232262">
                          <w:rPr>
                            <w:rStyle w:val="Lienhypertexte"/>
                            <w:sz w:val="28"/>
                            <w:szCs w:val="28"/>
                          </w:rPr>
                          <w:t>appbibinsa@insa-toulouse.fr</w:t>
                        </w:r>
                      </w:hyperlink>
                      <w:r w:rsidR="00232262">
                        <w:rPr>
                          <w:rStyle w:val="Lienhypertext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39C0" w:rsidRPr="002239C0" w:rsidRDefault="002239C0" w:rsidP="002239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39C0">
                        <w:rPr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 : 05.61.55.</w:t>
                      </w:r>
                      <w:r w:rsidRPr="00484B9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96.93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091953" cy="10919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bIN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30" cy="10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C0" w:rsidRDefault="002239C0" w:rsidP="002239C0"/>
    <w:p w:rsidR="002239C0" w:rsidRPr="00B8365F" w:rsidRDefault="002239C0" w:rsidP="00232262">
      <w:pPr>
        <w:jc w:val="both"/>
        <w:rPr>
          <w:i/>
          <w:sz w:val="20"/>
          <w:szCs w:val="20"/>
        </w:rPr>
      </w:pPr>
      <w:r w:rsidRPr="00B8365F">
        <w:rPr>
          <w:i/>
          <w:sz w:val="20"/>
          <w:szCs w:val="20"/>
        </w:rPr>
        <w:t>La bibliothèque acco</w:t>
      </w:r>
      <w:r w:rsidR="00232262">
        <w:rPr>
          <w:i/>
          <w:sz w:val="20"/>
          <w:szCs w:val="20"/>
        </w:rPr>
        <w:t>mpagne et soutient les pédagogies actives et innovantes</w:t>
      </w:r>
      <w:r w:rsidRPr="00B8365F">
        <w:rPr>
          <w:i/>
          <w:sz w:val="20"/>
          <w:szCs w:val="20"/>
        </w:rPr>
        <w:t xml:space="preserve">. </w:t>
      </w:r>
      <w:r w:rsidR="00232262">
        <w:rPr>
          <w:i/>
          <w:sz w:val="20"/>
          <w:szCs w:val="20"/>
        </w:rPr>
        <w:t xml:space="preserve">Parmi les actions, </w:t>
      </w:r>
      <w:proofErr w:type="spellStart"/>
      <w:r w:rsidR="00232262">
        <w:rPr>
          <w:i/>
          <w:sz w:val="20"/>
          <w:szCs w:val="20"/>
        </w:rPr>
        <w:t>Bib’INSA</w:t>
      </w:r>
      <w:proofErr w:type="spellEnd"/>
      <w:r w:rsidR="00232262">
        <w:rPr>
          <w:i/>
          <w:sz w:val="20"/>
          <w:szCs w:val="20"/>
        </w:rPr>
        <w:t xml:space="preserve"> </w:t>
      </w:r>
      <w:r w:rsidRPr="00B8365F">
        <w:rPr>
          <w:i/>
          <w:sz w:val="20"/>
          <w:szCs w:val="20"/>
        </w:rPr>
        <w:t xml:space="preserve">acquiert des ouvrages spécifiques en plusieurs exemplaires qu’elle prête sur de longues périodes </w:t>
      </w:r>
      <w:r w:rsidR="00484B99" w:rsidRPr="00B8365F">
        <w:rPr>
          <w:i/>
          <w:sz w:val="20"/>
          <w:szCs w:val="20"/>
        </w:rPr>
        <w:t>(prêt</w:t>
      </w:r>
      <w:r w:rsidR="00B8365F" w:rsidRPr="00B8365F">
        <w:rPr>
          <w:i/>
          <w:sz w:val="20"/>
          <w:szCs w:val="20"/>
        </w:rPr>
        <w:t xml:space="preserve"> semestriel ou annuel) </w:t>
      </w:r>
      <w:r w:rsidRPr="00B8365F">
        <w:rPr>
          <w:i/>
          <w:sz w:val="20"/>
          <w:szCs w:val="20"/>
        </w:rPr>
        <w:t xml:space="preserve">selon des </w:t>
      </w:r>
      <w:r w:rsidR="00B8365F" w:rsidRPr="00B8365F">
        <w:rPr>
          <w:i/>
          <w:sz w:val="20"/>
          <w:szCs w:val="20"/>
        </w:rPr>
        <w:t>règles</w:t>
      </w:r>
      <w:r w:rsidRPr="00B8365F">
        <w:rPr>
          <w:i/>
          <w:sz w:val="20"/>
          <w:szCs w:val="20"/>
        </w:rPr>
        <w:t xml:space="preserve"> spécifiques</w:t>
      </w:r>
      <w:r w:rsidR="00B8365F" w:rsidRPr="00B8365F">
        <w:rPr>
          <w:i/>
          <w:sz w:val="20"/>
          <w:szCs w:val="20"/>
        </w:rPr>
        <w:t>.</w:t>
      </w:r>
    </w:p>
    <w:p w:rsidR="00B8365F" w:rsidRPr="00B8365F" w:rsidRDefault="00B8365F" w:rsidP="00B8365F">
      <w:pPr>
        <w:pStyle w:val="Paragraphedeliste"/>
        <w:numPr>
          <w:ilvl w:val="0"/>
          <w:numId w:val="1"/>
        </w:numPr>
        <w:rPr>
          <w:b/>
          <w:color w:val="CC3399"/>
          <w:sz w:val="24"/>
          <w:szCs w:val="24"/>
        </w:rPr>
      </w:pPr>
      <w:r w:rsidRPr="00B8365F">
        <w:rPr>
          <w:b/>
          <w:color w:val="CC3399"/>
          <w:sz w:val="24"/>
          <w:szCs w:val="24"/>
        </w:rPr>
        <w:t>Quand faire une demande d’achat ?</w:t>
      </w:r>
    </w:p>
    <w:p w:rsidR="00B8365F" w:rsidRDefault="00B8365F" w:rsidP="00232262">
      <w:pPr>
        <w:jc w:val="both"/>
      </w:pPr>
      <w:r>
        <w:t>Toute demande d’</w:t>
      </w:r>
      <w:r w:rsidR="00484B99">
        <w:t xml:space="preserve">achat pour les </w:t>
      </w:r>
      <w:r>
        <w:t xml:space="preserve">APP s’effectue </w:t>
      </w:r>
      <w:r w:rsidRPr="00B8365F">
        <w:rPr>
          <w:b/>
        </w:rPr>
        <w:t>au mois de juin</w:t>
      </w:r>
      <w:r>
        <w:t xml:space="preserve"> de manière à ce que le</w:t>
      </w:r>
      <w:r w:rsidR="00484B99">
        <w:t>s</w:t>
      </w:r>
      <w:r>
        <w:t xml:space="preserve"> nouveaux livres soient prêts pour la rentrée. </w:t>
      </w:r>
    </w:p>
    <w:p w:rsidR="00B8365F" w:rsidRDefault="00B8365F" w:rsidP="00232262">
      <w:pPr>
        <w:jc w:val="both"/>
      </w:pPr>
      <w:r w:rsidRPr="00B8365F">
        <w:rPr>
          <w:b/>
        </w:rPr>
        <w:t>Le format électronique est proposé systématiquement</w:t>
      </w:r>
      <w:r>
        <w:t xml:space="preserve"> s’il existe et</w:t>
      </w:r>
      <w:r w:rsidR="00BF3579">
        <w:t xml:space="preserve"> choisi chaque fois</w:t>
      </w:r>
      <w:r>
        <w:t xml:space="preserve"> en accord avec l’enseignant sous réserve que les modalités d’</w:t>
      </w:r>
      <w:r w:rsidR="00484B99">
        <w:t>accès</w:t>
      </w:r>
      <w:r>
        <w:t xml:space="preserve"> soient compatibles avec l’usage prévu.</w:t>
      </w:r>
    </w:p>
    <w:p w:rsidR="00B8365F" w:rsidRDefault="007E1687" w:rsidP="00232262">
      <w:pPr>
        <w:jc w:val="both"/>
        <w:rPr>
          <w:b/>
        </w:rPr>
      </w:pPr>
      <w:r>
        <w:t>Dans le cas d’un format imprimé, i</w:t>
      </w:r>
      <w:r w:rsidR="00B8365F">
        <w:t xml:space="preserve">l est demandé à l’enseignant de </w:t>
      </w:r>
      <w:r w:rsidR="00B8365F" w:rsidRPr="00B8365F">
        <w:rPr>
          <w:b/>
        </w:rPr>
        <w:t xml:space="preserve">s’engager </w:t>
      </w:r>
      <w:r w:rsidR="00B8365F" w:rsidRPr="00484B99">
        <w:t>sur l’utilisation de chaque titre</w:t>
      </w:r>
      <w:r w:rsidR="00B8365F" w:rsidRPr="00B8365F">
        <w:rPr>
          <w:b/>
        </w:rPr>
        <w:t xml:space="preserve"> sur au moins deux années</w:t>
      </w:r>
      <w:r w:rsidR="00CA2124">
        <w:rPr>
          <w:b/>
        </w:rPr>
        <w:t>.</w:t>
      </w:r>
    </w:p>
    <w:p w:rsidR="00484B99" w:rsidRPr="00484B99" w:rsidRDefault="00484B99" w:rsidP="00232262">
      <w:pPr>
        <w:jc w:val="both"/>
        <w:rPr>
          <w:b/>
        </w:rPr>
      </w:pPr>
      <w:r w:rsidRPr="00484B99">
        <w:t>Dans le cas où un grand nombre  d’exemplaires se révèlent indispensable</w:t>
      </w:r>
      <w:r w:rsidRPr="00484B99">
        <w:rPr>
          <w:b/>
        </w:rPr>
        <w:t>, l</w:t>
      </w:r>
      <w:r w:rsidR="007E1687">
        <w:rPr>
          <w:b/>
        </w:rPr>
        <w:t xml:space="preserve">’achat peut </w:t>
      </w:r>
      <w:r w:rsidRPr="00484B99">
        <w:rPr>
          <w:b/>
        </w:rPr>
        <w:t>être réparti sur plusieurs années</w:t>
      </w:r>
      <w:r>
        <w:rPr>
          <w:b/>
        </w:rPr>
        <w:t>.</w:t>
      </w:r>
    </w:p>
    <w:p w:rsidR="00B8365F" w:rsidRPr="00CA2124" w:rsidRDefault="00B8365F" w:rsidP="00CA2124">
      <w:pPr>
        <w:pStyle w:val="Paragraphedeliste"/>
        <w:numPr>
          <w:ilvl w:val="0"/>
          <w:numId w:val="1"/>
        </w:numPr>
        <w:rPr>
          <w:b/>
          <w:color w:val="CC3399"/>
          <w:sz w:val="24"/>
          <w:szCs w:val="24"/>
        </w:rPr>
      </w:pPr>
      <w:r w:rsidRPr="00CA2124">
        <w:rPr>
          <w:b/>
          <w:color w:val="CC3399"/>
          <w:sz w:val="24"/>
          <w:szCs w:val="24"/>
        </w:rPr>
        <w:t xml:space="preserve">Quand dois-je prévenir </w:t>
      </w:r>
      <w:r w:rsidR="00CA2124" w:rsidRPr="00CA2124">
        <w:rPr>
          <w:b/>
          <w:color w:val="CC3399"/>
          <w:sz w:val="24"/>
          <w:szCs w:val="24"/>
        </w:rPr>
        <w:t>la bibliothèque du début d’un prêt ?</w:t>
      </w:r>
    </w:p>
    <w:p w:rsidR="00CA2124" w:rsidRDefault="00CA2124" w:rsidP="00232262">
      <w:pPr>
        <w:jc w:val="both"/>
        <w:rPr>
          <w:b/>
        </w:rPr>
      </w:pPr>
      <w:r w:rsidRPr="00CA2124">
        <w:rPr>
          <w:b/>
        </w:rPr>
        <w:t>15 jours  avant le début du prêt</w:t>
      </w:r>
      <w:r w:rsidR="00356A8B">
        <w:rPr>
          <w:b/>
        </w:rPr>
        <w:t xml:space="preserve"> APP</w:t>
      </w:r>
      <w:bookmarkStart w:id="0" w:name="_GoBack"/>
      <w:bookmarkEnd w:id="0"/>
    </w:p>
    <w:p w:rsidR="00CA2124" w:rsidRPr="00CA2124" w:rsidRDefault="000245B6" w:rsidP="00232262">
      <w:pPr>
        <w:jc w:val="both"/>
      </w:pPr>
      <w:r>
        <w:t xml:space="preserve">Il faut impérativement </w:t>
      </w:r>
      <w:r w:rsidR="00CA2124" w:rsidRPr="00CA2124">
        <w:t xml:space="preserve"> communiquer</w:t>
      </w:r>
      <w:r>
        <w:t xml:space="preserve"> à la bibliothèque </w:t>
      </w:r>
      <w:r w:rsidRPr="00CA2124">
        <w:t>:</w:t>
      </w:r>
    </w:p>
    <w:p w:rsidR="00CA2124" w:rsidRPr="00CA2124" w:rsidRDefault="00CA2124" w:rsidP="0023226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2124">
        <w:t>Les titres  des ouvrages concernés</w:t>
      </w:r>
    </w:p>
    <w:p w:rsidR="00CA2124" w:rsidRPr="00CA2124" w:rsidRDefault="00CA2124" w:rsidP="0023226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2124">
        <w:t xml:space="preserve">Le nombre d’exemplaires </w:t>
      </w:r>
      <w:r w:rsidR="000245B6">
        <w:t>nécessaires</w:t>
      </w:r>
      <w:r w:rsidR="00484B99">
        <w:t>.</w:t>
      </w:r>
    </w:p>
    <w:p w:rsidR="00CA2124" w:rsidRPr="00CA2124" w:rsidRDefault="00CA2124" w:rsidP="0023226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2124">
        <w:t>Fixer la date de prêt et la date de retour des exemplaires</w:t>
      </w:r>
      <w:r w:rsidR="00484B99">
        <w:t>.</w:t>
      </w:r>
    </w:p>
    <w:p w:rsidR="00CA2124" w:rsidRPr="00CA2124" w:rsidRDefault="00CA2124" w:rsidP="0023226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2124">
        <w:t xml:space="preserve">La </w:t>
      </w:r>
      <w:r w:rsidR="000245B6">
        <w:t xml:space="preserve">liste des étudiants </w:t>
      </w:r>
      <w:r w:rsidR="000245B6" w:rsidRPr="00CA2124">
        <w:t>(au</w:t>
      </w:r>
      <w:r w:rsidRPr="00CA2124">
        <w:t xml:space="preserve"> moins une semaine avant le début de la date d’emprunt)</w:t>
      </w:r>
      <w:r w:rsidR="00484B99">
        <w:t>.</w:t>
      </w:r>
    </w:p>
    <w:p w:rsidR="00232262" w:rsidRDefault="00232262" w:rsidP="00232262">
      <w:pPr>
        <w:pStyle w:val="Paragraphedeliste"/>
        <w:jc w:val="both"/>
        <w:rPr>
          <w:b/>
          <w:color w:val="CC3399"/>
          <w:sz w:val="24"/>
          <w:szCs w:val="24"/>
        </w:rPr>
      </w:pPr>
    </w:p>
    <w:p w:rsidR="00554AE3" w:rsidRPr="00554AE3" w:rsidRDefault="00CA2124" w:rsidP="00232262">
      <w:pPr>
        <w:pStyle w:val="Paragraphedeliste"/>
        <w:numPr>
          <w:ilvl w:val="0"/>
          <w:numId w:val="1"/>
        </w:numPr>
        <w:jc w:val="both"/>
      </w:pPr>
      <w:r w:rsidRPr="00554AE3">
        <w:rPr>
          <w:b/>
          <w:color w:val="CC3399"/>
          <w:sz w:val="24"/>
          <w:szCs w:val="24"/>
        </w:rPr>
        <w:t xml:space="preserve">Obligations des enseignants en charge </w:t>
      </w:r>
      <w:r w:rsidR="00232262" w:rsidRPr="00554AE3">
        <w:rPr>
          <w:b/>
          <w:color w:val="CC3399"/>
          <w:sz w:val="24"/>
          <w:szCs w:val="24"/>
        </w:rPr>
        <w:t>des prêts</w:t>
      </w:r>
      <w:r w:rsidR="000245B6" w:rsidRPr="00554AE3">
        <w:rPr>
          <w:b/>
          <w:color w:val="CC3399"/>
          <w:sz w:val="24"/>
          <w:szCs w:val="24"/>
        </w:rPr>
        <w:t xml:space="preserve"> </w:t>
      </w:r>
    </w:p>
    <w:p w:rsidR="00CA2124" w:rsidRDefault="00CA2124" w:rsidP="00554AE3">
      <w:pPr>
        <w:ind w:left="360"/>
        <w:jc w:val="both"/>
      </w:pPr>
      <w:r>
        <w:t>L’enseignant doit rappeler aux étudiants qu’ils doivent</w:t>
      </w:r>
      <w:r w:rsidR="00BF3579">
        <w:t xml:space="preserve"> venir </w:t>
      </w:r>
      <w:r w:rsidR="00232262">
        <w:t xml:space="preserve">à la bibliothèque </w:t>
      </w:r>
      <w:r w:rsidR="00BF3579">
        <w:t xml:space="preserve">munis de leur carte INSA ainsi que </w:t>
      </w:r>
      <w:r>
        <w:t>respecter les horaires et dates de retrait qu’ils leur ont été fixés.</w:t>
      </w:r>
    </w:p>
    <w:p w:rsidR="00B8365F" w:rsidRPr="002239C0" w:rsidRDefault="00540520" w:rsidP="00232262">
      <w:pPr>
        <w:jc w:val="both"/>
      </w:pPr>
      <w:r>
        <w:t>En cas de changement d’étudiant dans une liste, l’</w:t>
      </w:r>
      <w:r w:rsidR="001C61D1">
        <w:t>enseignant</w:t>
      </w:r>
      <w:r>
        <w:t xml:space="preserve"> doit prévenir le responsable des APP à la </w:t>
      </w:r>
      <w:r w:rsidR="001C61D1">
        <w:t>bibliothèque</w:t>
      </w:r>
      <w:r w:rsidR="00484B99">
        <w:t>.</w:t>
      </w:r>
    </w:p>
    <w:sectPr w:rsidR="00B8365F" w:rsidRPr="0022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8.4pt" o:bullet="t">
        <v:imagedata r:id="rId1" o:title="MC900059897[1]"/>
      </v:shape>
    </w:pict>
  </w:numPicBullet>
  <w:numPicBullet w:numPicBulletId="1">
    <w:pict>
      <v:shape id="_x0000_i1031" type="#_x0000_t75" style="width:11.2pt;height:11.2pt" o:bullet="t">
        <v:imagedata r:id="rId2" o:title="MC900115834[1]"/>
      </v:shape>
    </w:pict>
  </w:numPicBullet>
  <w:abstractNum w:abstractNumId="0">
    <w:nsid w:val="5DB81AF6"/>
    <w:multiLevelType w:val="hybridMultilevel"/>
    <w:tmpl w:val="29B80344"/>
    <w:lvl w:ilvl="0" w:tplc="E0B641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7C23"/>
    <w:multiLevelType w:val="hybridMultilevel"/>
    <w:tmpl w:val="486CC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0"/>
    <w:rsid w:val="000245B6"/>
    <w:rsid w:val="001C61D1"/>
    <w:rsid w:val="002239C0"/>
    <w:rsid w:val="00232262"/>
    <w:rsid w:val="0025327F"/>
    <w:rsid w:val="00356A8B"/>
    <w:rsid w:val="00484B99"/>
    <w:rsid w:val="00540520"/>
    <w:rsid w:val="00554AE3"/>
    <w:rsid w:val="007E1687"/>
    <w:rsid w:val="008406DC"/>
    <w:rsid w:val="008A51D3"/>
    <w:rsid w:val="0091154C"/>
    <w:rsid w:val="009A4D40"/>
    <w:rsid w:val="00B8365F"/>
    <w:rsid w:val="00BF3579"/>
    <w:rsid w:val="00C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9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9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appbibinsa@insa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bibinsa@insa-toulous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Laure Aymard</dc:creator>
  <cp:keywords/>
  <dc:description/>
  <cp:lastModifiedBy>Anne Laure Aymard</cp:lastModifiedBy>
  <cp:revision>13</cp:revision>
  <cp:lastPrinted>2014-07-17T12:15:00Z</cp:lastPrinted>
  <dcterms:created xsi:type="dcterms:W3CDTF">2014-07-16T08:16:00Z</dcterms:created>
  <dcterms:modified xsi:type="dcterms:W3CDTF">2017-03-24T13:29:00Z</dcterms:modified>
</cp:coreProperties>
</file>